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835.0" w:type="dxa"/>
        <w:jc w:val="left"/>
        <w:tblLayout w:type="fixed"/>
        <w:tblLook w:val="0400"/>
      </w:tblPr>
      <w:tblGrid>
        <w:gridCol w:w="2553"/>
        <w:gridCol w:w="11282"/>
        <w:tblGridChange w:id="0">
          <w:tblGrid>
            <w:gridCol w:w="2553"/>
            <w:gridCol w:w="11282"/>
          </w:tblGrid>
        </w:tblGridChange>
      </w:tblGrid>
      <w:tr>
        <w:trPr>
          <w:cantSplit w:val="0"/>
          <w:trHeight w:val="15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line="259" w:lineRule="auto"/>
              <w:rPr/>
            </w:pPr>
            <w:r w:rsidDel="00000000" w:rsidR="00000000" w:rsidRPr="00000000">
              <w:rPr/>
              <w:drawing>
                <wp:inline distB="0" distT="0" distL="0" distR="0">
                  <wp:extent cx="1621536" cy="940308"/>
                  <wp:effectExtent b="0" l="0" r="0" t="0"/>
                  <wp:docPr id="5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1536" cy="94030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3517.0" w:type="dxa"/>
              <w:jc w:val="left"/>
              <w:tblLayout w:type="fixed"/>
              <w:tblLook w:val="0400"/>
            </w:tblPr>
            <w:tblGrid>
              <w:gridCol w:w="3517"/>
              <w:tblGridChange w:id="0">
                <w:tblGrid>
                  <w:gridCol w:w="3517"/>
                </w:tblGrid>
              </w:tblGridChange>
            </w:tblGrid>
            <w:tr>
              <w:trPr>
                <w:cantSplit w:val="0"/>
                <w:trHeight w:val="1373" w:hRule="atLeast"/>
                <w:tblHeader w:val="0"/>
              </w:trPr>
              <w:tc>
                <w:tcPr>
                  <w:tcBorders>
                    <w:top w:color="000000" w:space="0" w:sz="6" w:val="single"/>
                    <w:left w:color="000000" w:space="0" w:sz="6" w:val="single"/>
                    <w:bottom w:color="000000" w:space="0" w:sz="6" w:val="single"/>
                    <w:right w:color="000000" w:space="0" w:sz="7" w:val="single"/>
                  </w:tcBorders>
                  <w:vAlign w:val="center"/>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Church Street</w:t>
                    <w:br w:type="textWrapping"/>
                    <w:t xml:space="preserve">Bloomfield, NY 14469</w:t>
                    <w:br w:type="textWrapping"/>
                    <w:t xml:space="preserve">585-657-6264</w:t>
                    <w:br w:type="textWrapping"/>
                    <w:t xml:space="preserve">www.bloomfieldpubliclibrary.org</w:t>
                  </w:r>
                </w:p>
              </w:tc>
            </w:tr>
          </w:tbl>
          <w:p w:rsidR="00000000" w:rsidDel="00000000" w:rsidP="00000000" w:rsidRDefault="00000000" w:rsidRPr="00000000" w14:paraId="00000005">
            <w:pPr>
              <w:spacing w:line="259" w:lineRule="auto"/>
              <w:ind w:left="-5788" w:right="11281" w:firstLine="0"/>
              <w:rPr/>
            </w:pPr>
            <w:r w:rsidDel="00000000" w:rsidR="00000000" w:rsidRPr="00000000">
              <w:rPr>
                <w:rtl w:val="0"/>
              </w:rPr>
            </w:r>
          </w:p>
          <w:p w:rsidR="00000000" w:rsidDel="00000000" w:rsidP="00000000" w:rsidRDefault="00000000" w:rsidRPr="00000000" w14:paraId="00000006">
            <w:pPr>
              <w:spacing w:after="160" w:line="259" w:lineRule="auto"/>
              <w:rPr/>
            </w:pPr>
            <w:r w:rsidDel="00000000" w:rsidR="00000000" w:rsidRPr="00000000">
              <w:rPr>
                <w:rtl w:val="0"/>
              </w:rPr>
            </w:r>
          </w:p>
        </w:tc>
      </w:tr>
    </w:tbl>
    <w:p w:rsidR="00000000" w:rsidDel="00000000" w:rsidP="00000000" w:rsidRDefault="00000000" w:rsidRPr="00000000" w14:paraId="00000007">
      <w:pPr>
        <w:keepNext w:val="1"/>
        <w:ind w:right="-45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OPEN MEETINGS POLICY</w:t>
      </w:r>
    </w:p>
    <w:p w:rsidR="00000000" w:rsidDel="00000000" w:rsidP="00000000" w:rsidRDefault="00000000" w:rsidRPr="00000000" w14:paraId="00000008">
      <w:pPr>
        <w:keepNext w:val="1"/>
        <w:ind w:righ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Date</w:t>
      </w:r>
    </w:p>
    <w:p w:rsidR="00000000" w:rsidDel="00000000" w:rsidP="00000000" w:rsidRDefault="00000000" w:rsidRPr="00000000" w14:paraId="00000009">
      <w:pPr>
        <w:keepNext w:val="1"/>
        <w:ind w:right="-45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PUBLIC MEETINGS</w:t>
      </w:r>
    </w:p>
    <w:p w:rsidR="00000000" w:rsidDel="00000000" w:rsidP="00000000" w:rsidRDefault="00000000" w:rsidRPr="00000000" w14:paraId="0000000A">
      <w:pPr>
        <w:keepNext w:val="1"/>
        <w:ind w:righ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Article 7 of New York State’s Public Officers Law, as well as Education Law Title 1, Article 5, Section 260a, the Bloomfield Public Library’s Board of Trustee meetings shall be open to the general public.</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sessions may be called as a portion of the open meeting and appropriate business transacted in accordance with Article 7, Section 105 of Public Officers Law.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an open meeting will consist of a record or summary of all motions, proposals, resolutions, and any matter formally voted upon and the vote thereon. Minutes of a public meeting will be posted to the Library’s website and otherwise made available two weeks following the date of the meeting. </w:t>
      </w:r>
    </w:p>
    <w:p w:rsidR="00000000" w:rsidDel="00000000" w:rsidP="00000000" w:rsidRDefault="00000000" w:rsidRPr="00000000" w14:paraId="0000000D">
      <w:pPr>
        <w:keepNext w:val="1"/>
        <w:ind w:right="-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calendar of regular Board of Trustees meetings is voted on by the Board of Trustees at their annual meeting in July. Regular meetings are scheduled for the third Monday of each month, and held in the Bloomfield Public Library’s Community Room beginning at 6:00 pm. Notice of time, place, and the use of videoconferencing of each meeting is given to the public and news media at least one week in advance of the meeting.</w:t>
      </w:r>
    </w:p>
    <w:p w:rsidR="00000000" w:rsidDel="00000000" w:rsidP="00000000" w:rsidRDefault="00000000" w:rsidRPr="00000000" w14:paraId="0000000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PUBLIC COMMENT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 Board of Trustees welcomes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comment at meetings governed by Open Meetings Law. The purpose of this section is to ensure that interested parties representing various points of view are allowed time to present their views while permitting the Board to conduct their meeting in an efficient and effective manner.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person shall be permitted an opportunity to address the Bloomfield Public Library Board under the following guidelines: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comments are permitted during the time designated on the library board agenda, unless otherwise directed by the Board President.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beginning of the Public Comments segments of the meeting, the Board President or designee will ask if anyone wishes to address the Board and will determine the order in which speakers will be recognized.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speaker will be asked to provide their name and group affiliation (if any).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speaker will be allowed a maximum of t</w:t>
      </w:r>
      <w:r w:rsidDel="00000000" w:rsidR="00000000" w:rsidRPr="00000000">
        <w:rPr>
          <w:rFonts w:ascii="Times New Roman" w:cs="Times New Roman" w:eastAsia="Times New Roman" w:hAnsi="Times New Roman"/>
          <w:sz w:val="24"/>
          <w:szCs w:val="24"/>
          <w:rtl w:val="0"/>
        </w:rPr>
        <w:t xml:space="preserve">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to address the Board; the Board President or presiding officer will monitor time limits for each speaker.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Comments shall relate to legitimate Bloomfield Public Library Board of Trustees business.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comments shall be made with civility and courtesy. The Board President or presiding officer may prohibit further comment if proper decorum is not displayed.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is not required to provide an immediate response or take action on any speaker comments.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Minutes of public meetings are a summary of discussion on all matters proposed, deliberated or decided by the Board, thus, public comments and written materials submitted by the public will not be reflected in the minutes.</w:t>
      </w:r>
    </w:p>
    <w:p w:rsidR="00000000" w:rsidDel="00000000" w:rsidP="00000000" w:rsidRDefault="00000000" w:rsidRPr="00000000" w14:paraId="0000001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PUBLIC RECORDING, PHOTOGRAPHING, BROADCASTING, AND WEBCASTING</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 recognizes the requirement of the NY State Open Meetings Law to allow the public to photograph, broadcast, and webcast its open public meetings. Section 103(2) of the Open Meetings Law allows public bodies to adopt rules about the location of equipment and personnel used to photograph broadcast webcast or otherwise record a public meeting. The System adopts the rules outlined below.</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per Section 103(2) of the Open Meetings Law, these rules shall be posted at the location of each meeting. These rules will also be included in the public posting for each meeting so the public attending can have notice of and abide by such rules.</w:t>
      </w:r>
    </w:p>
    <w:p w:rsidR="00000000" w:rsidDel="00000000" w:rsidP="00000000" w:rsidRDefault="00000000" w:rsidRPr="00000000" w14:paraId="0000001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Adopted Rules for the Public Recording, Photographing, Broadcasting, or Webcasting of a Meeting:</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extension cords or other potential tripping hazards may be set up;</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flash photography or additional lighting may be used;</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recording instrument shall be closer than four feet of a meeting participant, without that person's express consent;</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equipment should be silent enough to not cause a disruption;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must not block aisles or exits and may not impede the view of other attendees;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must be maintained, monitored, and attended at all times by the owner of said equipment;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Bloomfield Public Library is not responsible for damaged, lost, or malfunctioning equipment; and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“Guest” WiFi network may be used by the public attending meetings.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privilege to record in this manner at the Library is limited to open meetings of the Board.</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enforcing this rule with regards to the manner of recording, the Bloomfield Public Library Board of Trustees shall ensure that the First Amendment of the United States Constitution, and Article I, Section 8 of the New York constitution are honored.</w:t>
      </w:r>
    </w:p>
    <w:p w:rsidR="00000000" w:rsidDel="00000000" w:rsidP="00000000" w:rsidRDefault="00000000" w:rsidRPr="00000000" w14:paraId="0000002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SEVERABILITY</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provision of these guidelines or the application thereof to any person or circumstances is adjudged invalid by a court of competent jurisdiction, such judgment shall not affect or impair the validity of the other provisions of these regulations or the application thereof to other persons and circumstances.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Meta Offc"/>
  <w:font w:name="Noto Sans Symbols">
    <w:embedRegular w:fontKey="{00000000-0000-0000-0000-000000000000}" r:id="rId1" w:subsetted="0"/>
    <w:embedBold w:fontKey="{00000000-0000-0000-0000-000000000000}" r:id="rId2" w:subsetted="0"/>
  </w:font>
  <w:font w:name="Meta SC Off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ta Offc" w:cs="Meta Offc" w:eastAsia="Meta Offc" w:hAnsi="Meta Offc"/>
        <w:sz w:val="22"/>
        <w:szCs w:val="22"/>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0"/>
      <w:spacing w:after="240" w:before="0" w:lineRule="auto"/>
      <w:ind w:right="-450"/>
    </w:pPr>
    <w:rPr>
      <w:rFonts w:ascii="Meta SC Offc" w:cs="Meta SC Offc" w:eastAsia="Meta SC Offc" w:hAnsi="Meta SC Offc"/>
      <w:color w:val="000000"/>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30BFD"/>
    <w:pPr>
      <w:spacing w:after="240" w:line="240" w:lineRule="auto"/>
    </w:pPr>
    <w:rPr>
      <w:rFonts w:ascii="Meta Offc" w:cs="Meta Offc" w:eastAsia="Times New Roman" w:hAnsi="Meta Offc"/>
      <w:bCs w:val="1"/>
    </w:rPr>
  </w:style>
  <w:style w:type="paragraph" w:styleId="Heading1">
    <w:name w:val="heading 1"/>
    <w:basedOn w:val="Normal"/>
    <w:next w:val="Normal"/>
    <w:link w:val="Heading1Char"/>
    <w:uiPriority w:val="9"/>
    <w:qFormat w:val="1"/>
    <w:rsid w:val="00030BF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Heading1"/>
    <w:next w:val="Normal"/>
    <w:link w:val="Heading2Char"/>
    <w:uiPriority w:val="9"/>
    <w:unhideWhenUsed w:val="1"/>
    <w:qFormat w:val="1"/>
    <w:rsid w:val="00030BFD"/>
    <w:pPr>
      <w:keepLines w:val="0"/>
      <w:spacing w:after="240" w:before="0"/>
      <w:ind w:right="-450"/>
      <w:outlineLvl w:val="1"/>
    </w:pPr>
    <w:rPr>
      <w:rFonts w:ascii="Meta SC Offc" w:cs="Meta SC Offc" w:eastAsia="Times New Roman" w:hAnsi="Meta SC Offc"/>
      <w:color w:val="auto"/>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30BFD"/>
    <w:rPr>
      <w:rFonts w:ascii="Meta SC Offc" w:cs="Meta SC Offc" w:eastAsia="Times New Roman" w:hAnsi="Meta SC Offc"/>
      <w:bCs w:val="1"/>
      <w:sz w:val="36"/>
      <w:szCs w:val="36"/>
    </w:rPr>
  </w:style>
  <w:style w:type="character" w:styleId="Heading1Char" w:customStyle="1">
    <w:name w:val="Heading 1 Char"/>
    <w:basedOn w:val="DefaultParagraphFont"/>
    <w:link w:val="Heading1"/>
    <w:uiPriority w:val="9"/>
    <w:rsid w:val="00030BFD"/>
    <w:rPr>
      <w:rFonts w:asciiTheme="majorHAnsi" w:cstheme="majorBidi" w:eastAsiaTheme="majorEastAsia" w:hAnsiTheme="majorHAnsi"/>
      <w:bCs w:val="1"/>
      <w:color w:val="2f5496" w:themeColor="accent1" w:themeShade="0000BF"/>
      <w:sz w:val="32"/>
      <w:szCs w:val="32"/>
    </w:rPr>
  </w:style>
  <w:style w:type="character" w:styleId="FootnoteReference">
    <w:name w:val="footnote reference"/>
    <w:basedOn w:val="DefaultParagraphFont"/>
    <w:uiPriority w:val="99"/>
    <w:semiHidden w:val="1"/>
    <w:unhideWhenUsed w:val="1"/>
    <w:qFormat w:val="1"/>
    <w:rsid w:val="00030BFD"/>
    <w:rPr>
      <w:rFonts w:ascii="Meta Offc" w:hAnsi="Meta Offc"/>
      <w:sz w:val="18"/>
      <w:vertAlign w:val="superscript"/>
    </w:rPr>
  </w:style>
  <w:style w:type="paragraph" w:styleId="FootnoteText">
    <w:name w:val="footnote text"/>
    <w:basedOn w:val="Normal"/>
    <w:link w:val="FootnoteTextChar"/>
    <w:uiPriority w:val="99"/>
    <w:semiHidden w:val="1"/>
    <w:unhideWhenUsed w:val="1"/>
    <w:qFormat w:val="1"/>
    <w:rsid w:val="00030BFD"/>
    <w:pPr>
      <w:spacing w:after="0"/>
    </w:pPr>
    <w:rPr>
      <w:sz w:val="18"/>
      <w:szCs w:val="20"/>
    </w:rPr>
  </w:style>
  <w:style w:type="character" w:styleId="FootnoteTextChar" w:customStyle="1">
    <w:name w:val="Footnote Text Char"/>
    <w:basedOn w:val="DefaultParagraphFont"/>
    <w:link w:val="FootnoteText"/>
    <w:uiPriority w:val="99"/>
    <w:semiHidden w:val="1"/>
    <w:rsid w:val="00030BFD"/>
    <w:rPr>
      <w:rFonts w:ascii="Meta Offc" w:cs="Meta Offc" w:eastAsia="Times New Roman" w:hAnsi="Meta Offc"/>
      <w:bCs w:val="1"/>
      <w:sz w:val="18"/>
      <w:szCs w:val="20"/>
    </w:rPr>
  </w:style>
  <w:style w:type="paragraph" w:styleId="ListParagraph">
    <w:name w:val="List Paragraph"/>
    <w:basedOn w:val="Normal"/>
    <w:uiPriority w:val="34"/>
    <w:qFormat w:val="1"/>
    <w:rsid w:val="00030BFD"/>
    <w:pPr>
      <w:ind w:left="720"/>
      <w:contextualSpacing w:val="1"/>
    </w:pPr>
  </w:style>
  <w:style w:type="character" w:styleId="Hyperlink">
    <w:name w:val="Hyperlink"/>
    <w:basedOn w:val="DefaultParagraphFont"/>
    <w:uiPriority w:val="99"/>
    <w:unhideWhenUsed w:val="1"/>
    <w:rsid w:val="00030BFD"/>
    <w:rPr>
      <w:color w:val="0563c1" w:themeColor="hyperlink"/>
      <w:u w:val="single"/>
    </w:rPr>
  </w:style>
  <w:style w:type="character" w:styleId="UnresolvedMention">
    <w:name w:val="Unresolved Mention"/>
    <w:basedOn w:val="DefaultParagraphFont"/>
    <w:uiPriority w:val="99"/>
    <w:semiHidden w:val="1"/>
    <w:unhideWhenUsed w:val="1"/>
    <w:rsid w:val="00030BFD"/>
    <w:rPr>
      <w:color w:val="605e5c"/>
      <w:shd w:color="auto" w:fill="e1dfdd" w:val="clear"/>
    </w:rPr>
  </w:style>
  <w:style w:type="table" w:styleId="TableGrid" w:customStyle="1">
    <w:name w:val="TableGrid"/>
    <w:rsid w:val="00BF0BF1"/>
    <w:pPr>
      <w:spacing w:after="0" w:line="240" w:lineRule="auto"/>
    </w:pPr>
    <w:rPr>
      <w:rFonts w:eastAsiaTheme="minorEastAsia"/>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4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BNEvrmPS/I+iroMUu5NQ6yIPg==">CgMxLjA4AHIhMWhLeVFmdDhMZEpOVFRHSjJrTGJWZlhYYmpSWmVJazFS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2024-04-26T18:27:00Z</dcterms:created>
  <dc:creator>Piety Exley</dc:creator>
</cp:coreProperties>
</file>