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Livonia Public Library Board of Trustees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Meeting Agenda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Tuesday, February 11, 2025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Time: 7:00 PM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Location: Patterson Meeting Room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70"/>
        <w:tblGridChange w:id="0">
          <w:tblGrid>
            <w:gridCol w:w="86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Topic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Meeting begins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Opening Public 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Approval of January 14th Meeting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Bills (January)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Friends Report (Sally)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Director Report (Shamika)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FFRPL Grant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Copier Lease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Proposed 2024 funds transfer for Building Repair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Old Business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Trustee Training / Sexual Harassment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Board Evaluation summary review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Committee Updates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Strategic Planning</w:t>
            </w:r>
            <w:r w:rsidDel="00000000" w:rsidR="00000000" w:rsidRPr="00000000">
              <w:rPr>
                <w:rtl w:val="0"/>
              </w:rPr>
              <w:t xml:space="preserve"> (Christine, Liz, Mary, Mae)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Ron visit planned next Board Meeting 3/11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Personnel </w:t>
            </w:r>
            <w:r w:rsidDel="00000000" w:rsidR="00000000" w:rsidRPr="00000000">
              <w:rPr>
                <w:rtl w:val="0"/>
              </w:rPr>
              <w:t xml:space="preserve">(Christine, Liz, Tammy)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Building &amp; Grounds </w:t>
            </w:r>
            <w:r w:rsidDel="00000000" w:rsidR="00000000" w:rsidRPr="00000000">
              <w:rPr>
                <w:rtl w:val="0"/>
              </w:rPr>
              <w:t xml:space="preserve">(Brian, Rick)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Policy </w:t>
            </w:r>
            <w:r w:rsidDel="00000000" w:rsidR="00000000" w:rsidRPr="00000000">
              <w:rPr>
                <w:rtl w:val="0"/>
              </w:rPr>
              <w:t xml:space="preserve">(Christine, Denise, Cori)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Borrowing &amp; Loan 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Bidding &amp; Procurement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Budget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Credit Card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Director Compensation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Disposition of Surplus Property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Fixed Assets Capitalization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Mobile Hotspot Lending 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Bomb Threat Request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Library Presenter Code of Conduct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Publicity </w:t>
            </w:r>
            <w:r w:rsidDel="00000000" w:rsidR="00000000" w:rsidRPr="00000000">
              <w:rPr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tl w:val="0"/>
              </w:rPr>
              <w:t xml:space="preserve">Christine)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Executive Session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Adjournment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 additional meeting materials are available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14"/>
          <w:szCs w:val="1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Next Board Meeting:  </w:t>
      </w:r>
      <w:r w:rsidDel="00000000" w:rsidR="00000000" w:rsidRPr="00000000">
        <w:rPr>
          <w:sz w:val="28"/>
          <w:szCs w:val="28"/>
          <w:rtl w:val="0"/>
        </w:rPr>
        <w:t xml:space="preserve">March 11, 2025 at 7:00 PM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90" w:top="1440" w:left="1440" w:right="1440" w:header="27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521533" cy="902776"/>
          <wp:effectExtent b="0" l="0" r="0" t="0"/>
          <wp:docPr descr="https://livonialibrary.org/wp-content/uploads/2020/09/Logo-3-kjh-clear-300x178.png" id="10" name="image1.png"/>
          <a:graphic>
            <a:graphicData uri="http://schemas.openxmlformats.org/drawingml/2006/picture">
              <pic:pic>
                <pic:nvPicPr>
                  <pic:cNvPr descr="https://livonialibrary.org/wp-content/uploads/2020/09/Logo-3-kjh-clear-300x178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1533" cy="9027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wnuEeGcJEQnUs8nvRK48x0Kf8A==">CgMxLjA4AHIhMV9ka2N5QTNxZTBEQTNKckQtT2V0MlZlQUgxRE1hS1Fq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